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default" w:ascii="Comic Sans MS" w:hAnsi="Comic Sans MS" w:eastAsia="SimSun" w:cs="Comic Sans MS"/>
          <w:sz w:val="24"/>
          <w:szCs w:val="24"/>
          <w:lang w:val="en-US"/>
        </w:rPr>
      </w:pPr>
      <w:r>
        <w:rPr>
          <w:rFonts w:hint="default" w:ascii="Comic Sans MS" w:hAnsi="Comic Sans MS" w:eastAsia="SimSun" w:cs="Comic Sans MS"/>
          <w:sz w:val="24"/>
          <w:szCs w:val="24"/>
          <w:lang w:val="en-US"/>
        </w:rPr>
        <w:t>Elsa Kure Agena</w:t>
      </w:r>
    </w:p>
    <w:p>
      <w:pPr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lang w:val="en-US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897245" cy="8350885"/>
            <wp:effectExtent l="0" t="0" r="8255" b="1206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835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sectPr>
      <w:pgSz w:w="11906" w:h="16838"/>
      <w:pgMar w:top="440" w:right="1800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F33D7"/>
    <w:rsid w:val="04D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2018-12-08T07:54:00Z</dcterms:created>
  <dc:creator>Susan Miyaji</dc:creator>
  <cp:lastModifiedBy>Susan Miyaji</cp:lastModifiedBy>
  <dcterms:modified xsi:type="dcterms:W3CDTF">2018-12-08T07:58:34Z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